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2015 71 vom 4. April 2016</w:t>
      </w:r>
    </w:p>
    <w:p>
      <w:r>
        <w:t>GR Gerichte, 2016-04-04, DE</w:t>
      </w:r>
    </w:p>
    <w:p>
      <w:r>
        <w:rPr>
          <w:b/>
        </w:rPr>
        <w:t xml:space="preserve">Quelle: </w:t>
      </w:r>
      <w:r>
        <w:t>https://mcp.opencaselaw.ch/entscheid/gr_gerichte_KSK 2015 71</w:t>
      </w:r>
    </w:p>
    <w:p>
      <w:r>
        <w:t>FR: GR_GERICHTE KSK 2015 71 du 4 avril 2016</w:t>
      </w:r>
    </w:p>
    <w:p>
      <w:r>
        <w:t>IT: GR_GERICHTE KSK 2015 71 del 4 aprile 2016</w:t>
      </w:r>
    </w:p>
    <w:p>
      <w:pPr>
        <w:pStyle w:val="Heading2"/>
      </w:pPr>
      <w:r>
        <w:t>Regeste</w:t>
      </w:r>
    </w:p>
    <w:p>
      <w:r>
        <w:t>Verwertung von Anteilen an Gemeinschaftsvermögen | Aufsicht Direktes Gesuch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April 2016 Entscheid Schuldbetreibungs- und Konkurskammer als Aufsichtsbehörde über Schuldbetreibung und Konkurs Präsident Brunner Im Gesuch des B e t r e i b u n g s a m t e s I m b o d e n , Casa Communala, 7014 Trin, Ge- suchsteller, in Sachen des K a n t o n s G r a u b ü n d e n , 7001 Chur, Gesuchsgegner, vertreten durch Finanzverwaltung Graubünden, Steinbruchstrasse 18, 7001 Chur, gegen A._____, Gesuchsgegner, B._____, Gesuchsgegner, C._____, Gesuchsgegnerin, D._____, Gesuchsgegnerin, alle vertreten durch Rechtsanwalt lic. iur. Diego Quin- ter, Quaderstrasse 18, 7002 Chur, betreffend Verwertung von Anteilen an Gemeinschaftsvermögen,</w:t>
      </w:r>
    </w:p>
    <w:p>
      <w:r>
        <w:t>Seite 2 — 6 wird nach Einsichtnahme in das Gesuch vom 17. November 2015 samt mitge- reichten Verfahrensakten, in die Stellungnahme von Rechtsanwalt Quinter vom 7. Dezember 2015 samt mitgereichten Akten, in die Stellungnahme der Finanzver- waltung des Kantons Graubünden vom 7. Dezember 2015 samt mitgereichten Ak- ten, in die weiteren Rechtschriften sowie nach Feststellung und in Erwägung, – dass der Kanton Graubünden A._____ über das Betreibungsamt Imboden (heute Betreibungs- und Konkursamt der Region Imboden) für eine Forderung von CHF 10'101'912.05 zuzüglich Zinsen und Kosten betreibt, – dass nach Erhebung des Rechtsvorschlags durch den Schuldner mit Ent- scheid der Schuldbetreibungs- und Konkurskammer des Kantonsgerichts von Graubünden vom 5. Juni 2015 für den Betrag von CHF 10'101'912.05 die de- finitive Rechtsöffnung erteilt wurde, – dass durch das Betreibungsamt Imboden bereits am 13. Januar 2015 nebst einem Personenwagen der hälftige Miteigentumsanteil des Schuldners an der Liegenschaft Nr. _____ in O.1_____ sowie fünf auf den Namen des Schuld- ners lautende Konti und der Anteil des Schuldners an der unverteilten Erb- schaft E._____ sel. gepfändet wurden, – dass die Pfändung eines Anteilrechtes am Gemeinschaftsvermögen den Nachkommen von A._____ und dem Grundbuchamt der Gemeinde O.1_____ angezeigt wurde, – dass das Betreibungsamt Imboden die Beteiligten in der Folge zu einer Eini- gungsverhandlung gemäss Art. 9 VVAG einlud, – dass die beiden am 23. September 2015 und am 26. Oktober 2015 durchge- führten Einigungsverhandlungen zu keiner Einigung führten, – dass sich dabei der Schuldner und seine Nachkommen insbesondere auf den Standpunkt stellten, die Konti bei der Bank.1_____, der Bank.4_____, bei der Bank.2_____ und bei der Bank.3_____ seien gemeinsame Konten der Ehe- gatten gewesen; der Saldo per 31. August 2015 sei "für die Berechnung der Erbschaftsanteile anzusetzen", – dass demgegenüber der Kanton Graubünden davon ausging, im Strafurteil gegen A._____ des Kantonsgerichts von Graubünden vom 23. Juni 2014 sei- en die Konti bei der Bank.3_____, der Bank.4_____, der Bank.2_____, der Bank.1_____ und der F._____AG gerichtlich eingezogen worden und zur De-</w:t>
      </w:r>
    </w:p>
    <w:p>
      <w:r>
        <w:t>Seite 3 — 6 ckung der Ersatzforderung im Sinne von Art. 71 Abs. 3 StGB bestimmt wor- den; sie würden deshalb nicht in die Erbmasse fallen, – dass in der Folge ein Angebot der Nachkommen von A._____ zur Übernahme der Liegenschaft Nr. _____ in O.1_____ vom Kanton Graubünden abgelehnt wurde, – dass das Betreibungsamt Imboden am 17. November 2015 die Verfahrensak- ten im Sinne von Art. 10 VVAG dem Kantonsgericht als Aufsichtsbehörde über Schuldbetreibung und Konkurs übermittelte und den Antrag stellte, die Konten _____ und _____ bei der Bank.4_____ seien im Sinne des Urteils SK1 14 19 des Kantonsgerichts von Graubünden als Ersatzforderung der Pfändung bei- zuziehen; die Liegenschaft an der _____strasse, O.1_____, solle als Ganzes versteigert werden und der Erlös anteilsmässig an die Erben und die Betrei- bung Nr. _____ verteilt werden, – dass A._____ und seine Nachkommen am 7. Dezember 2015 auf Abweisung des Gesuches antrugen, – dass der Kanton Graubünden am 7. Dezember 2015 seine Stellungnahme einreichte, den Antrag des Betreibungsamtes Imboden unterstützte und er- gänzte, es seien sämtliche rechtskräftig beschlagnahmten Vermögenswerte gemäss Urteil des Kantonsgerichts vom 23. Juni 2014 zur Betreibung Nr. _____ beizuziehen; bezüglich der Liegenschaft an der _____strasse in O.1_____ sei auch der Erbanspruch des A._____ am hälftigen Miteigentums- anteil der E._____ sel. der Betreibung zuzuführen, – dass in der Folge ein weiterer Schriftenwechsel geführt wurde, – dass gemäss Art. 132 Abs. 2 SchKG der Betreibungsbeamte die Aufsichts- behörde um Bestimmung des Verfahrens ersucht, wenn es etwa um die Ver- wertung einer unverteilten Erbschaft geht, – dass Art. 10 Abs. 2 der Verordnung des Bundesgerichts über die Pfändung und Verwertung von Anteilen an Gemeinschaftsvermögen (VVAG) näher be- stimmt, dass die Aufsichtsbehörde, unter möglichster Berücksichtigung der Anträge der Beteiligten, verfügt, ob das gepfändete Anteilsrecht als solches versteigert oder ob die Auflösung der Gemeinschaft und Liquidation des Ge- meinschaftsvermögens nach den für die betreffende Gemeinschaft geltenden Vorschriften herbeigeführt werden soll,</w:t>
      </w:r>
    </w:p>
    <w:p>
      <w:r>
        <w:t>Seite 4 — 6 – dass sich die kantonale Aufsichtsbehörde auf die Frage der Bestimmung des Verwertungsverfahrens zu beschränken hat und nicht über die Verteilung ei- nes allfälligen Erlöses und die Berücksichtigung bestimmter Gläubiger und Pfändungsgruppen entscheiden darf (BGE 114 III 98; Magdalena Rutz/Jürg Roth, in Staehelin/Bauer/Staehelin, Bundesgesetz über Schuldbetreibung und Konkurs I, 2. Auflage, Basel 2010, N 20 zu Art. 132 SchKG; Jolanta Kren Kostkiewicz, SchKG-Kommentar, 19. Auflage, Zürich 2016, N 2 zu Art. 132 SchKG), – dass dies dazu führt, dass auf die Anträge des Betreibungsamtes Imboden und des Kantons Graubünden, welche über die blosse Bestimmung des Ver- wertungsverfahrens hinausgehen, nicht eingetreten werden kann, – dass somit festzuhalten ist, dass die Aufsichtsbehörde gemäss Art. 132 Abs. 1 SchKG und Art. 10 Abs. 2 VVAG nur festlegen kann, ob die Anteilsrechte als solche zu versteigern sind oder ob die Auflösung der Erbengemeinschaft und Liquidation des Nachlasses nach den dafür geltenden Regeln durchzuführen ist, – dass sowohl Art. 132 SchKG als auch Art. 10 VVAG davon ausgehen, dass bereits geklärt ist, welche der gepfändeten Vermögenswerte alleiniges Eigen- tum des Schuldners und welche Anteile an Gemeinschaftsvermögen darstel- len, – dass dies aber hinsichtlich der gepfändeten Konti aber gerade ein Streitpunkt unter den Beteiligten ist, – dass diese Frage somit zunächst zu entscheiden ist, bevor das Verwertungs- verfahren zu bestimmen ist, – dass dieser Entscheid im Widerspruchsverfahren gemäss Art. 106 ff. SchKG herbeizuführen ist (vgl. PKG 2002 Nr. 31 unter Hinweis auf BGE 70 IV 179; Adrian Staehelin, in Staehelin/Bauer/Staehelin, a.a.O., N 16 zu Art. 106 SchKG), – dass aufgrund des Urteils des Kantonsgerichts von Graubünden vom 23. Juni 2014 (SK1 14 19) wohl feststeht, dass A._____ dem Kanton Graubünden den Betrag von CHF 10'101'912.05 schuldet,</w:t>
      </w:r>
    </w:p>
    <w:p>
      <w:r>
        <w:t>Seite 5 — 6 – dass trotz der gestützt auf Art. 70 Abs. 1 StGB erfolgten Einziehung der ge- pfändeten Konti nicht definitiv feststeht, dass diese Vermögenswerte auch im Alleineigentum vom A._____ stehen, – dass die Einziehung der fraglichen Vermögenswerte grundsätzlich nur eine Beschlagnahmung bedeutet und im Rahmen des Betreibungsverfahrens die Ansprüche daran näher zu klären sind (vgl. dazu den Entscheid der Schuldbe- treibungs- und Konkurskammer des Kantonsgerichts vom 5. Juni 2015, KSK 14 90), – dass A._____ und seine Nachkommen dem Betreibungsamt Imboden die Ein- leitung des Widerspruchsverfahrens bereits am 30. November 2015 beantragt haben und das Betreibungsamt ein solches Verfahren auch selbst in Erwä- gung gezogen hat (vgl. das Schreiben des Betreibungsamtes Imboden an Rechtsanwalt Quinter vom 4. Dezember 2016, act. C.1.3), – dass das Betreibungsamt indessen fälschlicherweise davon ausging, dass die Aufsichtsbehörde zunächst den Verwertungsmodus festzulegen habe, – dass das Betreibungs- und Konkursamt der Region Imboden somit anzuwei- sen ist, das Widerspruchsverfahren gemäss Art. 106 ff. SchKG einzuleiten, – dass das Gesuch somit abzuweisen ist, soweit darauf eingetreten werden kann, – dass die Kosten dieses Verfahrens beim Kanton Graubünden verbleiben und keine aussergerichtlichen Entschädigungen zugesprochen werden (analoge Anwendung von Art. 61 und Art. 62 GebVSchKG), – dass dieser Entscheid in Anwendung von Art. 18 Abs. 2 GOG in einzelrichter- licher Kompetenz ergeht,</w:t>
      </w:r>
    </w:p>
    <w:p>
      <w:r>
        <w:t>Seite 6 — 6 entschieden: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